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Jako žák M. Jana Husa a M. Jakoubka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 xml:space="preserve">ze Stříbra přejímá Mikuláš </w:t>
      </w:r>
      <w:proofErr w:type="spellStart"/>
      <w:r>
        <w:rPr>
          <w:rFonts w:ascii="Palatino-Roman" w:hAnsi="Palatino-Roman" w:cs="Palatino-Roman"/>
          <w:sz w:val="19"/>
          <w:szCs w:val="19"/>
        </w:rPr>
        <w:t>Biskupec</w:t>
      </w:r>
      <w:proofErr w:type="spellEnd"/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z Pelhřimova zásadu vysluhování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eucharistie ´pod obojí způsobou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´, tedy vysluhování chleba i vína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všem vyznavačům Ježíše Krista (nikoli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 xml:space="preserve">jen kněžím, jak </w:t>
      </w:r>
      <w:proofErr w:type="gramStart"/>
      <w:r>
        <w:rPr>
          <w:rFonts w:ascii="Palatino-Roman" w:hAnsi="Palatino-Roman" w:cs="Palatino-Roman"/>
          <w:sz w:val="19"/>
          <w:szCs w:val="19"/>
        </w:rPr>
        <w:t>se</w:t>
      </w:r>
      <w:proofErr w:type="gramEnd"/>
      <w:r>
        <w:rPr>
          <w:rFonts w:ascii="Palatino-Roman" w:hAnsi="Palatino-Roman" w:cs="Palatino-Roman"/>
          <w:sz w:val="19"/>
          <w:szCs w:val="19"/>
        </w:rPr>
        <w:t xml:space="preserve"> cca od 13. stol.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stalo pravidlem), jako jedině biblicky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oprávněnou. Tak tomu učí Písma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svatá Nového zákona. Stejně jako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Hus a Jakoubek odmítá transsubstanciaci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(přepodstatnění). To, co se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vidí, láme a chutná, není tělo a krev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Ježíše Krista. Zprvu drží Jakoubkovo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proofErr w:type="spellStart"/>
      <w:r>
        <w:rPr>
          <w:rFonts w:ascii="Palatino-Roman" w:hAnsi="Palatino-Roman" w:cs="Palatino-Roman"/>
          <w:sz w:val="19"/>
          <w:szCs w:val="19"/>
        </w:rPr>
        <w:t>konsubstanciační</w:t>
      </w:r>
      <w:proofErr w:type="spellEnd"/>
      <w:r>
        <w:rPr>
          <w:rFonts w:ascii="Palatino-Roman" w:hAnsi="Palatino-Roman" w:cs="Palatino-Roman"/>
          <w:sz w:val="19"/>
          <w:szCs w:val="19"/>
        </w:rPr>
        <w:t xml:space="preserve"> pojetí přítomnosti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Krista ve svátosti, totiž že po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posvěcujících slovech: „To je mé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tělo“ a „To je má krev“, se k chlebu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a vínu připojuje neviditelně, ale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reálně a cele ve své podstatě Ježíš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Kristus, jeho tělo a krev. Ještě při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„pikartské krizi“ na Táboře v roce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 xml:space="preserve">1421 píše v traktátu proti </w:t>
      </w:r>
      <w:proofErr w:type="spellStart"/>
      <w:r>
        <w:rPr>
          <w:rFonts w:ascii="Palatino-Roman" w:hAnsi="Palatino-Roman" w:cs="Palatino-Roman"/>
          <w:sz w:val="19"/>
          <w:szCs w:val="19"/>
        </w:rPr>
        <w:t>Kánišovi</w:t>
      </w:r>
      <w:proofErr w:type="spellEnd"/>
      <w:r>
        <w:rPr>
          <w:rFonts w:ascii="Palatino-Roman" w:hAnsi="Palatino-Roman" w:cs="Palatino-Roman"/>
          <w:sz w:val="19"/>
          <w:szCs w:val="19"/>
        </w:rPr>
        <w:t>: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 xml:space="preserve">„Kristus totéž tělo pravé, </w:t>
      </w:r>
      <w:proofErr w:type="spellStart"/>
      <w:r>
        <w:rPr>
          <w:rFonts w:ascii="Palatino-Roman" w:hAnsi="Palatino-Roman" w:cs="Palatino-Roman"/>
          <w:sz w:val="19"/>
          <w:szCs w:val="19"/>
        </w:rPr>
        <w:t>ješto</w:t>
      </w:r>
      <w:proofErr w:type="spellEnd"/>
      <w:r>
        <w:rPr>
          <w:rFonts w:ascii="Palatino-Roman" w:hAnsi="Palatino-Roman" w:cs="Palatino-Roman"/>
          <w:sz w:val="19"/>
          <w:szCs w:val="19"/>
        </w:rPr>
        <w:t xml:space="preserve"> zde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v něm na světě byl a jenž již sedí na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pravici Otce, dává věrným k jedení,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 xml:space="preserve">tělo pod </w:t>
      </w:r>
      <w:proofErr w:type="spellStart"/>
      <w:r>
        <w:rPr>
          <w:rFonts w:ascii="Palatino-Roman" w:hAnsi="Palatino-Roman" w:cs="Palatino-Roman"/>
          <w:sz w:val="19"/>
          <w:szCs w:val="19"/>
        </w:rPr>
        <w:t>spuosobem</w:t>
      </w:r>
      <w:proofErr w:type="spellEnd"/>
      <w:r>
        <w:rPr>
          <w:rFonts w:ascii="Palatino-Roman" w:hAnsi="Palatino-Roman" w:cs="Palatino-Roman"/>
          <w:sz w:val="19"/>
          <w:szCs w:val="19"/>
        </w:rPr>
        <w:t xml:space="preserve"> chleba a krev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proofErr w:type="gramStart"/>
      <w:r>
        <w:rPr>
          <w:rFonts w:ascii="Palatino-Roman" w:hAnsi="Palatino-Roman" w:cs="Palatino-Roman"/>
          <w:sz w:val="19"/>
          <w:szCs w:val="19"/>
        </w:rPr>
        <w:t>ku</w:t>
      </w:r>
      <w:proofErr w:type="gramEnd"/>
      <w:r>
        <w:rPr>
          <w:rFonts w:ascii="Palatino-Roman" w:hAnsi="Palatino-Roman" w:cs="Palatino-Roman"/>
          <w:sz w:val="19"/>
          <w:szCs w:val="19"/>
        </w:rPr>
        <w:t xml:space="preserve"> pití pod </w:t>
      </w:r>
      <w:proofErr w:type="spellStart"/>
      <w:r>
        <w:rPr>
          <w:rFonts w:ascii="Palatino-Roman" w:hAnsi="Palatino-Roman" w:cs="Palatino-Roman"/>
          <w:sz w:val="19"/>
          <w:szCs w:val="19"/>
        </w:rPr>
        <w:t>spuosobem</w:t>
      </w:r>
      <w:proofErr w:type="spellEnd"/>
      <w:r>
        <w:rPr>
          <w:rFonts w:ascii="Palatino-Roman" w:hAnsi="Palatino-Roman" w:cs="Palatino-Roman"/>
          <w:sz w:val="19"/>
          <w:szCs w:val="19"/>
        </w:rPr>
        <w:t xml:space="preserve"> vína“, …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„tělo pravé z Panny Marie narozené,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na kříži obětované, již duchovní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a oslavené, právě a podle jeho bytu“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Italic" w:hAnsi="Palatino-Italic" w:cs="Palatino-Italic"/>
          <w:i/>
          <w:iCs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(</w:t>
      </w:r>
      <w:r>
        <w:rPr>
          <w:rFonts w:ascii="Palatino-Italic" w:hAnsi="Palatino-Italic" w:cs="Palatino-Italic"/>
          <w:i/>
          <w:iCs/>
          <w:sz w:val="19"/>
          <w:szCs w:val="19"/>
        </w:rPr>
        <w:t>Zdeněk Nejedlý, Prameny k synodám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Italic" w:hAnsi="Palatino-Italic" w:cs="Palatino-Italic"/>
          <w:i/>
          <w:iCs/>
          <w:sz w:val="19"/>
          <w:szCs w:val="19"/>
        </w:rPr>
      </w:pPr>
      <w:r>
        <w:rPr>
          <w:rFonts w:ascii="Palatino-Italic" w:hAnsi="Palatino-Italic" w:cs="Palatino-Italic"/>
          <w:i/>
          <w:iCs/>
          <w:sz w:val="19"/>
          <w:szCs w:val="19"/>
        </w:rPr>
        <w:t>strany pražské a táborské v letech 1441-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Italic" w:hAnsi="Palatino-Italic" w:cs="Palatino-Italic"/>
          <w:i/>
          <w:iCs/>
          <w:sz w:val="19"/>
          <w:szCs w:val="19"/>
        </w:rPr>
        <w:t>1444, Praha 1900</w:t>
      </w:r>
      <w:r>
        <w:rPr>
          <w:rFonts w:ascii="Palatino-Roman" w:hAnsi="Palatino-Roman" w:cs="Palatino-Roman"/>
          <w:sz w:val="19"/>
          <w:szCs w:val="19"/>
        </w:rPr>
        <w:t>).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Zhruba o rok později pod vlivem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dalšího studia Bible a posléze také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učení o čtyřech způsobech bytí (bytu)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Ježíše Krista, které razil velmi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 xml:space="preserve">dobrý znalec spisů Jana </w:t>
      </w:r>
      <w:proofErr w:type="spellStart"/>
      <w:r>
        <w:rPr>
          <w:rFonts w:ascii="Palatino-Roman" w:hAnsi="Palatino-Roman" w:cs="Palatino-Roman"/>
          <w:sz w:val="19"/>
          <w:szCs w:val="19"/>
        </w:rPr>
        <w:t>Viklefa</w:t>
      </w:r>
      <w:proofErr w:type="spellEnd"/>
      <w:r>
        <w:rPr>
          <w:rFonts w:ascii="Palatino-Roman" w:hAnsi="Palatino-Roman" w:cs="Palatino-Roman"/>
          <w:sz w:val="19"/>
          <w:szCs w:val="19"/>
        </w:rPr>
        <w:t>,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Italic" w:hAnsi="Palatino-Italic" w:cs="Palatino-Italic"/>
          <w:i/>
          <w:iCs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kněz Jan Němec ze Žatce (</w:t>
      </w:r>
      <w:r>
        <w:rPr>
          <w:rFonts w:ascii="Palatino-Italic" w:hAnsi="Palatino-Italic" w:cs="Palatino-Italic"/>
          <w:i/>
          <w:iCs/>
          <w:sz w:val="19"/>
          <w:szCs w:val="19"/>
        </w:rPr>
        <w:t>jeho traktáty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Italic" w:hAnsi="Palatino-Italic" w:cs="Palatino-Italic"/>
          <w:i/>
          <w:iCs/>
          <w:sz w:val="19"/>
          <w:szCs w:val="19"/>
        </w:rPr>
      </w:pPr>
      <w:r>
        <w:rPr>
          <w:rFonts w:ascii="Palatino-Italic" w:hAnsi="Palatino-Italic" w:cs="Palatino-Italic"/>
          <w:i/>
          <w:iCs/>
          <w:sz w:val="19"/>
          <w:szCs w:val="19"/>
        </w:rPr>
        <w:t>„</w:t>
      </w:r>
      <w:proofErr w:type="spellStart"/>
      <w:r>
        <w:rPr>
          <w:rFonts w:ascii="Palatino-Italic" w:hAnsi="Palatino-Italic" w:cs="Palatino-Italic"/>
          <w:i/>
          <w:iCs/>
          <w:sz w:val="19"/>
          <w:szCs w:val="19"/>
        </w:rPr>
        <w:t>Cum</w:t>
      </w:r>
      <w:proofErr w:type="spellEnd"/>
      <w:r>
        <w:rPr>
          <w:rFonts w:ascii="Palatino-Italic" w:hAnsi="Palatino-Italic" w:cs="Palatino-Italic"/>
          <w:i/>
          <w:iCs/>
          <w:sz w:val="19"/>
          <w:szCs w:val="19"/>
        </w:rPr>
        <w:t xml:space="preserve"> spiritus“ a „De </w:t>
      </w:r>
      <w:proofErr w:type="spellStart"/>
      <w:r>
        <w:rPr>
          <w:rFonts w:ascii="Palatino-Italic" w:hAnsi="Palatino-Italic" w:cs="Palatino-Italic"/>
          <w:i/>
          <w:iCs/>
          <w:sz w:val="19"/>
          <w:szCs w:val="19"/>
        </w:rPr>
        <w:t>quatuor</w:t>
      </w:r>
      <w:proofErr w:type="spellEnd"/>
      <w:r>
        <w:rPr>
          <w:rFonts w:ascii="Palatino-Italic" w:hAnsi="Palatino-Italic" w:cs="Palatino-Italic"/>
          <w:i/>
          <w:iCs/>
          <w:sz w:val="19"/>
          <w:szCs w:val="19"/>
        </w:rPr>
        <w:t xml:space="preserve"> modus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Italic" w:hAnsi="Palatino-Italic" w:cs="Palatino-Italic"/>
          <w:i/>
          <w:iCs/>
          <w:sz w:val="19"/>
          <w:szCs w:val="19"/>
        </w:rPr>
      </w:pPr>
      <w:proofErr w:type="spellStart"/>
      <w:r>
        <w:rPr>
          <w:rFonts w:ascii="Palatino-Italic" w:hAnsi="Palatino-Italic" w:cs="Palatino-Italic"/>
          <w:i/>
          <w:iCs/>
          <w:sz w:val="19"/>
          <w:szCs w:val="19"/>
        </w:rPr>
        <w:t>essendi</w:t>
      </w:r>
      <w:proofErr w:type="spellEnd"/>
      <w:r>
        <w:rPr>
          <w:rFonts w:ascii="Palatino-Italic" w:hAnsi="Palatino-Italic" w:cs="Palatino-Italic"/>
          <w:i/>
          <w:iCs/>
          <w:sz w:val="19"/>
          <w:szCs w:val="19"/>
        </w:rPr>
        <w:t>“ vydal Jan Sedlák v: Táborské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Italic" w:hAnsi="Palatino-Italic" w:cs="Palatino-Italic"/>
          <w:i/>
          <w:iCs/>
          <w:sz w:val="19"/>
          <w:szCs w:val="19"/>
        </w:rPr>
        <w:t>traktáty eucharistické, Brno 1918</w:t>
      </w:r>
      <w:r>
        <w:rPr>
          <w:rFonts w:ascii="Palatino-Roman" w:hAnsi="Palatino-Roman" w:cs="Palatino-Roman"/>
          <w:sz w:val="19"/>
          <w:szCs w:val="19"/>
        </w:rPr>
        <w:t>),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konsubstanciaci odmítá. Nesklouzává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však do pojetí ´pikartů´, kteří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v eucharistii viděli pouhé znamení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bez zvláštní přítomnosti Krista a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 xml:space="preserve">svátost znevažovali. </w:t>
      </w:r>
      <w:proofErr w:type="spellStart"/>
      <w:r>
        <w:rPr>
          <w:rFonts w:ascii="Palatino-Roman" w:hAnsi="Palatino-Roman" w:cs="Palatino-Roman"/>
          <w:sz w:val="19"/>
          <w:szCs w:val="19"/>
        </w:rPr>
        <w:t>Biskupec</w:t>
      </w:r>
      <w:proofErr w:type="spellEnd"/>
      <w:r>
        <w:rPr>
          <w:rFonts w:ascii="Palatino-Roman" w:hAnsi="Palatino-Roman" w:cs="Palatino-Roman"/>
          <w:sz w:val="19"/>
          <w:szCs w:val="19"/>
        </w:rPr>
        <w:t xml:space="preserve"> </w:t>
      </w:r>
      <w:proofErr w:type="gramStart"/>
      <w:r>
        <w:rPr>
          <w:rFonts w:ascii="Palatino-Roman" w:hAnsi="Palatino-Roman" w:cs="Palatino-Roman"/>
          <w:sz w:val="19"/>
          <w:szCs w:val="19"/>
        </w:rPr>
        <w:t>si</w:t>
      </w:r>
      <w:proofErr w:type="gramEnd"/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eucharistie váží, ba pokládá ji za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„svátost, která mnohonásobně převyšuje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Italic" w:hAnsi="Palatino-Italic" w:cs="Palatino-Italic"/>
          <w:i/>
          <w:iCs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ostatní“ (</w:t>
      </w:r>
      <w:r>
        <w:rPr>
          <w:rFonts w:ascii="Palatino-Italic" w:hAnsi="Palatino-Italic" w:cs="Palatino-Italic"/>
          <w:i/>
          <w:iCs/>
          <w:sz w:val="19"/>
          <w:szCs w:val="19"/>
        </w:rPr>
        <w:t>Vyznání a obrana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Italic" w:hAnsi="Palatino-Italic" w:cs="Palatino-Italic"/>
          <w:i/>
          <w:iCs/>
          <w:sz w:val="19"/>
          <w:szCs w:val="19"/>
        </w:rPr>
        <w:t>Táborů, Praha 1972, str. 79</w:t>
      </w:r>
      <w:r>
        <w:rPr>
          <w:rFonts w:ascii="Palatino-Roman" w:hAnsi="Palatino-Roman" w:cs="Palatino-Roman"/>
          <w:sz w:val="19"/>
          <w:szCs w:val="19"/>
        </w:rPr>
        <w:t>), a spolu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s ostatními táborskými kněžími nabádá,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že „je nutno dbát, aby nebyla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lidu dána příležitost svátost (tj.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eucharistii) znevažovat nebo jakkoli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Italic" w:hAnsi="Palatino-Italic" w:cs="Palatino-Italic"/>
          <w:i/>
          <w:iCs/>
          <w:sz w:val="19"/>
          <w:szCs w:val="19"/>
        </w:rPr>
      </w:pPr>
      <w:proofErr w:type="gramStart"/>
      <w:r>
        <w:rPr>
          <w:rFonts w:ascii="Palatino-Roman" w:hAnsi="Palatino-Roman" w:cs="Palatino-Roman"/>
          <w:sz w:val="19"/>
          <w:szCs w:val="19"/>
        </w:rPr>
        <w:t>se jí</w:t>
      </w:r>
      <w:proofErr w:type="gramEnd"/>
      <w:r>
        <w:rPr>
          <w:rFonts w:ascii="Palatino-Roman" w:hAnsi="Palatino-Roman" w:cs="Palatino-Roman"/>
          <w:sz w:val="19"/>
          <w:szCs w:val="19"/>
        </w:rPr>
        <w:t xml:space="preserve"> rouhat“ (</w:t>
      </w:r>
      <w:r>
        <w:rPr>
          <w:rFonts w:ascii="Palatino-Italic" w:hAnsi="Palatino-Italic" w:cs="Palatino-Italic"/>
          <w:i/>
          <w:iCs/>
          <w:sz w:val="19"/>
          <w:szCs w:val="19"/>
        </w:rPr>
        <w:t>usnesení písecké synody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Italic" w:hAnsi="Palatino-Italic" w:cs="Palatino-Italic"/>
          <w:i/>
          <w:iCs/>
          <w:sz w:val="19"/>
          <w:szCs w:val="19"/>
        </w:rPr>
      </w:pPr>
      <w:r>
        <w:rPr>
          <w:rFonts w:ascii="Palatino-Italic" w:hAnsi="Palatino-Italic" w:cs="Palatino-Italic"/>
          <w:i/>
          <w:iCs/>
          <w:sz w:val="19"/>
          <w:szCs w:val="19"/>
        </w:rPr>
        <w:t>v: Ze zpráv a kronik doby husitské,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Italic" w:hAnsi="Palatino-Italic" w:cs="Palatino-Italic"/>
          <w:i/>
          <w:iCs/>
          <w:sz w:val="19"/>
          <w:szCs w:val="19"/>
        </w:rPr>
        <w:t>Praha 1981, str. 302</w:t>
      </w:r>
      <w:r>
        <w:rPr>
          <w:rFonts w:ascii="Palatino-Roman" w:hAnsi="Palatino-Roman" w:cs="Palatino-Roman"/>
          <w:sz w:val="19"/>
          <w:szCs w:val="19"/>
        </w:rPr>
        <w:t xml:space="preserve">). </w:t>
      </w:r>
      <w:r>
        <w:rPr>
          <w:rFonts w:ascii="Palatino-Bold" w:hAnsi="Palatino-Bold" w:cs="Palatino-Bold"/>
          <w:b/>
          <w:bCs/>
          <w:sz w:val="19"/>
          <w:szCs w:val="19"/>
        </w:rPr>
        <w:t>Je určena k přijímání</w:t>
      </w:r>
      <w:r>
        <w:rPr>
          <w:rFonts w:ascii="Palatino-Roman" w:hAnsi="Palatino-Roman" w:cs="Palatino-Roman"/>
          <w:sz w:val="19"/>
          <w:szCs w:val="19"/>
        </w:rPr>
        <w:t>.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Jako taková je předjímkou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hostiny v Kristově království a slouží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člověku ´k zachovávání duchovního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Italic" w:hAnsi="Palatino-Italic" w:cs="Palatino-Italic"/>
          <w:i/>
          <w:iCs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pokrmu v Bohu´ (</w:t>
      </w:r>
      <w:r>
        <w:rPr>
          <w:rFonts w:ascii="Palatino-Italic" w:hAnsi="Palatino-Italic" w:cs="Palatino-Italic"/>
          <w:i/>
          <w:iCs/>
          <w:sz w:val="19"/>
          <w:szCs w:val="19"/>
        </w:rPr>
        <w:t>Vyznání a obrana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Italic" w:hAnsi="Palatino-Italic" w:cs="Palatino-Italic"/>
          <w:i/>
          <w:iCs/>
          <w:sz w:val="19"/>
          <w:szCs w:val="19"/>
        </w:rPr>
        <w:t>Táborů, str. 79</w:t>
      </w:r>
      <w:r>
        <w:rPr>
          <w:rFonts w:ascii="Palatino-Roman" w:hAnsi="Palatino-Roman" w:cs="Palatino-Roman"/>
          <w:sz w:val="19"/>
          <w:szCs w:val="19"/>
        </w:rPr>
        <w:t>), duchovně živí a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Italic" w:hAnsi="Palatino-Italic" w:cs="Palatino-Italic"/>
          <w:i/>
          <w:iCs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lastRenderedPageBreak/>
        <w:t>posiluje (</w:t>
      </w:r>
      <w:r>
        <w:rPr>
          <w:rFonts w:ascii="Palatino-Italic" w:hAnsi="Palatino-Italic" w:cs="Palatino-Italic"/>
          <w:i/>
          <w:iCs/>
          <w:sz w:val="19"/>
          <w:szCs w:val="19"/>
        </w:rPr>
        <w:t xml:space="preserve">srov. </w:t>
      </w:r>
      <w:proofErr w:type="spellStart"/>
      <w:r>
        <w:rPr>
          <w:rFonts w:ascii="Palatino-Italic" w:hAnsi="Palatino-Italic" w:cs="Palatino-Italic"/>
          <w:i/>
          <w:iCs/>
          <w:sz w:val="19"/>
          <w:szCs w:val="19"/>
        </w:rPr>
        <w:t>Biskupcův</w:t>
      </w:r>
      <w:proofErr w:type="spellEnd"/>
      <w:r>
        <w:rPr>
          <w:rFonts w:ascii="Palatino-Italic" w:hAnsi="Palatino-Italic" w:cs="Palatino-Italic"/>
          <w:i/>
          <w:iCs/>
          <w:sz w:val="19"/>
          <w:szCs w:val="19"/>
        </w:rPr>
        <w:t xml:space="preserve"> traktát „O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Italic" w:hAnsi="Palatino-Italic" w:cs="Palatino-Italic"/>
          <w:i/>
          <w:iCs/>
          <w:sz w:val="19"/>
          <w:szCs w:val="19"/>
        </w:rPr>
      </w:pPr>
      <w:r>
        <w:rPr>
          <w:rFonts w:ascii="Palatino-Italic" w:hAnsi="Palatino-Italic" w:cs="Palatino-Italic"/>
          <w:i/>
          <w:iCs/>
          <w:sz w:val="19"/>
          <w:szCs w:val="19"/>
        </w:rPr>
        <w:t>zvelebení v pravdě svátosti těla a krve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Italic" w:hAnsi="Palatino-Italic" w:cs="Palatino-Italic"/>
          <w:i/>
          <w:iCs/>
          <w:sz w:val="19"/>
          <w:szCs w:val="19"/>
        </w:rPr>
      </w:pPr>
      <w:r>
        <w:rPr>
          <w:rFonts w:ascii="Palatino-Italic" w:hAnsi="Palatino-Italic" w:cs="Palatino-Italic"/>
          <w:i/>
          <w:iCs/>
          <w:sz w:val="19"/>
          <w:szCs w:val="19"/>
        </w:rPr>
        <w:t xml:space="preserve">Pána našeho </w:t>
      </w:r>
      <w:proofErr w:type="spellStart"/>
      <w:r>
        <w:rPr>
          <w:rFonts w:ascii="Palatino-Italic" w:hAnsi="Palatino-Italic" w:cs="Palatino-Italic"/>
          <w:i/>
          <w:iCs/>
          <w:sz w:val="19"/>
          <w:szCs w:val="19"/>
        </w:rPr>
        <w:t>Jezukrista</w:t>
      </w:r>
      <w:proofErr w:type="spellEnd"/>
      <w:r>
        <w:rPr>
          <w:rFonts w:ascii="Palatino-Italic" w:hAnsi="Palatino-Italic" w:cs="Palatino-Italic"/>
          <w:i/>
          <w:iCs/>
          <w:sz w:val="19"/>
          <w:szCs w:val="19"/>
        </w:rPr>
        <w:t>“, vydal Vojtěch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Italic" w:hAnsi="Palatino-Italic" w:cs="Palatino-Italic"/>
          <w:i/>
          <w:iCs/>
          <w:sz w:val="19"/>
          <w:szCs w:val="19"/>
        </w:rPr>
      </w:pPr>
      <w:r>
        <w:rPr>
          <w:rFonts w:ascii="Palatino-Italic" w:hAnsi="Palatino-Italic" w:cs="Palatino-Italic"/>
          <w:i/>
          <w:iCs/>
          <w:sz w:val="19"/>
          <w:szCs w:val="19"/>
        </w:rPr>
        <w:t>Sokol v: Prameny dějin táborských,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Italic" w:hAnsi="Palatino-Italic" w:cs="Palatino-Italic"/>
          <w:i/>
          <w:iCs/>
          <w:sz w:val="19"/>
          <w:szCs w:val="19"/>
        </w:rPr>
      </w:pPr>
      <w:r>
        <w:rPr>
          <w:rFonts w:ascii="Palatino-Italic" w:hAnsi="Palatino-Italic" w:cs="Palatino-Italic"/>
          <w:i/>
          <w:iCs/>
          <w:sz w:val="19"/>
          <w:szCs w:val="19"/>
        </w:rPr>
        <w:t>Příloha Jihočeského sborníku historického,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Italic" w:hAnsi="Palatino-Italic" w:cs="Palatino-Italic"/>
          <w:i/>
          <w:iCs/>
          <w:sz w:val="19"/>
          <w:szCs w:val="19"/>
        </w:rPr>
        <w:t>Tábor 1929, str. 5n</w:t>
      </w:r>
      <w:r>
        <w:rPr>
          <w:rFonts w:ascii="Palatino-Roman" w:hAnsi="Palatino-Roman" w:cs="Palatino-Roman"/>
          <w:sz w:val="19"/>
          <w:szCs w:val="19"/>
        </w:rPr>
        <w:t>). „Její pomocí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proofErr w:type="gramStart"/>
      <w:r>
        <w:rPr>
          <w:rFonts w:ascii="Palatino-Roman" w:hAnsi="Palatino-Roman" w:cs="Palatino-Roman"/>
          <w:sz w:val="19"/>
          <w:szCs w:val="19"/>
        </w:rPr>
        <w:t>se duchovní</w:t>
      </w:r>
      <w:proofErr w:type="gramEnd"/>
      <w:r>
        <w:rPr>
          <w:rFonts w:ascii="Palatino-Roman" w:hAnsi="Palatino-Roman" w:cs="Palatino-Roman"/>
          <w:sz w:val="19"/>
          <w:szCs w:val="19"/>
        </w:rPr>
        <w:t xml:space="preserve"> život uchovává, kdežto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Italic" w:hAnsi="Palatino-Italic" w:cs="Palatino-Italic"/>
          <w:i/>
          <w:iCs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není-li jí, hyne“ (</w:t>
      </w:r>
      <w:r>
        <w:rPr>
          <w:rFonts w:ascii="Palatino-Italic" w:hAnsi="Palatino-Italic" w:cs="Palatino-Italic"/>
          <w:i/>
          <w:iCs/>
          <w:sz w:val="19"/>
          <w:szCs w:val="19"/>
        </w:rPr>
        <w:t>Vyznání a obrana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Bold" w:hAnsi="Palatino-Bold" w:cs="Palatino-Bold"/>
          <w:b/>
          <w:bCs/>
          <w:sz w:val="19"/>
          <w:szCs w:val="19"/>
        </w:rPr>
      </w:pPr>
      <w:r>
        <w:rPr>
          <w:rFonts w:ascii="Palatino-Italic" w:hAnsi="Palatino-Italic" w:cs="Palatino-Italic"/>
          <w:i/>
          <w:iCs/>
          <w:sz w:val="19"/>
          <w:szCs w:val="19"/>
        </w:rPr>
        <w:t>Táborů, str. 79</w:t>
      </w:r>
      <w:r>
        <w:rPr>
          <w:rFonts w:ascii="Palatino-Roman" w:hAnsi="Palatino-Roman" w:cs="Palatino-Roman"/>
          <w:sz w:val="19"/>
          <w:szCs w:val="19"/>
        </w:rPr>
        <w:t xml:space="preserve">). </w:t>
      </w:r>
      <w:r>
        <w:rPr>
          <w:rFonts w:ascii="Palatino-Bold" w:hAnsi="Palatino-Bold" w:cs="Palatino-Bold"/>
          <w:b/>
          <w:bCs/>
          <w:sz w:val="19"/>
          <w:szCs w:val="19"/>
        </w:rPr>
        <w:t>Eucharistie ovšem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Bold" w:hAnsi="Palatino-Bold" w:cs="Palatino-Bold"/>
          <w:b/>
          <w:bCs/>
          <w:sz w:val="19"/>
          <w:szCs w:val="19"/>
        </w:rPr>
      </w:pPr>
      <w:r>
        <w:rPr>
          <w:rFonts w:ascii="Palatino-Bold" w:hAnsi="Palatino-Bold" w:cs="Palatino-Bold"/>
          <w:b/>
          <w:bCs/>
          <w:sz w:val="19"/>
          <w:szCs w:val="19"/>
        </w:rPr>
        <w:t>není určena k tomu, aby se k ní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Bold" w:hAnsi="Palatino-Bold" w:cs="Palatino-Bold"/>
          <w:b/>
          <w:bCs/>
          <w:sz w:val="19"/>
          <w:szCs w:val="19"/>
        </w:rPr>
        <w:t>vzhlíželo a byla uctívána</w:t>
      </w:r>
      <w:r>
        <w:rPr>
          <w:rFonts w:ascii="Palatino-Roman" w:hAnsi="Palatino-Roman" w:cs="Palatino-Roman"/>
          <w:sz w:val="19"/>
          <w:szCs w:val="19"/>
        </w:rPr>
        <w:t>. Uctívat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máme Boha, který přišel v Ježíši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Kristu. Ale svátost není Bůh. Chléb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při vysluhování „není totožný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s Kristovým tělem, sedícím v nebi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na pravici Boží, ani tam není Kristovo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tělo tak, jak to někteří tvrdí,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protože tento způsob přítomnosti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by předpokládal zánik podstaty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chleba a proměnu jeho podstaty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Italic" w:hAnsi="Palatino-Italic" w:cs="Palatino-Italic"/>
          <w:i/>
          <w:iCs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v tělo Kristovo“ (</w:t>
      </w:r>
      <w:r>
        <w:rPr>
          <w:rFonts w:ascii="Palatino-Italic" w:hAnsi="Palatino-Italic" w:cs="Palatino-Italic"/>
          <w:i/>
          <w:iCs/>
          <w:sz w:val="19"/>
          <w:szCs w:val="19"/>
        </w:rPr>
        <w:t>Vyznání a obrana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Italic" w:hAnsi="Palatino-Italic" w:cs="Palatino-Italic"/>
          <w:i/>
          <w:iCs/>
          <w:sz w:val="19"/>
          <w:szCs w:val="19"/>
        </w:rPr>
        <w:t>Táborů, str. 80</w:t>
      </w:r>
      <w:r>
        <w:rPr>
          <w:rFonts w:ascii="Palatino-Roman" w:hAnsi="Palatino-Roman" w:cs="Palatino-Roman"/>
          <w:sz w:val="19"/>
          <w:szCs w:val="19"/>
        </w:rPr>
        <w:t>). „Tělo Boží v ten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chléb do soudného dne nevstoupí“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Italic" w:hAnsi="Palatino-Italic" w:cs="Palatino-Italic"/>
          <w:i/>
          <w:iCs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(</w:t>
      </w:r>
      <w:r>
        <w:rPr>
          <w:rFonts w:ascii="Palatino-Italic" w:hAnsi="Palatino-Italic" w:cs="Palatino-Italic"/>
          <w:i/>
          <w:iCs/>
          <w:sz w:val="19"/>
          <w:szCs w:val="19"/>
        </w:rPr>
        <w:t xml:space="preserve">Ferdinand </w:t>
      </w:r>
      <w:proofErr w:type="spellStart"/>
      <w:r>
        <w:rPr>
          <w:rFonts w:ascii="Palatino-Italic" w:hAnsi="Palatino-Italic" w:cs="Palatino-Italic"/>
          <w:i/>
          <w:iCs/>
          <w:sz w:val="19"/>
          <w:szCs w:val="19"/>
        </w:rPr>
        <w:t>Hrejsa</w:t>
      </w:r>
      <w:proofErr w:type="spellEnd"/>
      <w:r>
        <w:rPr>
          <w:rFonts w:ascii="Palatino-Italic" w:hAnsi="Palatino-Italic" w:cs="Palatino-Italic"/>
          <w:i/>
          <w:iCs/>
          <w:sz w:val="19"/>
          <w:szCs w:val="19"/>
        </w:rPr>
        <w:t>, Dějiny křesťanství v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Italic" w:hAnsi="Palatino-Italic" w:cs="Palatino-Italic"/>
          <w:i/>
          <w:iCs/>
          <w:sz w:val="19"/>
          <w:szCs w:val="19"/>
        </w:rPr>
      </w:pPr>
      <w:r>
        <w:rPr>
          <w:rFonts w:ascii="Palatino-Italic" w:hAnsi="Palatino-Italic" w:cs="Palatino-Italic"/>
          <w:i/>
          <w:iCs/>
          <w:sz w:val="19"/>
          <w:szCs w:val="19"/>
        </w:rPr>
        <w:t>Československu II., Praha 1947, str.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Italic" w:hAnsi="Palatino-Italic" w:cs="Palatino-Italic"/>
          <w:i/>
          <w:iCs/>
          <w:sz w:val="19"/>
          <w:szCs w:val="19"/>
        </w:rPr>
      </w:pPr>
      <w:r>
        <w:rPr>
          <w:rFonts w:ascii="Palatino-Italic" w:hAnsi="Palatino-Italic" w:cs="Palatino-Italic"/>
          <w:i/>
          <w:iCs/>
          <w:sz w:val="19"/>
          <w:szCs w:val="19"/>
        </w:rPr>
        <w:t>232; srov. též traktát „O zvelebení…,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proofErr w:type="gramStart"/>
      <w:r>
        <w:rPr>
          <w:rFonts w:ascii="Palatino-Italic" w:hAnsi="Palatino-Italic" w:cs="Palatino-Italic"/>
          <w:i/>
          <w:iCs/>
          <w:sz w:val="19"/>
          <w:szCs w:val="19"/>
        </w:rPr>
        <w:t xml:space="preserve">str. 6 </w:t>
      </w:r>
      <w:r>
        <w:rPr>
          <w:rFonts w:ascii="Palatino-Roman" w:hAnsi="Palatino-Roman" w:cs="Palatino-Roman"/>
          <w:sz w:val="19"/>
          <w:szCs w:val="19"/>
        </w:rPr>
        <w:t>). „Obdobně</w:t>
      </w:r>
      <w:proofErr w:type="gramEnd"/>
      <w:r>
        <w:rPr>
          <w:rFonts w:ascii="Palatino-Roman" w:hAnsi="Palatino-Roman" w:cs="Palatino-Roman"/>
          <w:sz w:val="19"/>
          <w:szCs w:val="19"/>
        </w:rPr>
        <w:t xml:space="preserve"> je třeba smýšlet o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Italic" w:hAnsi="Palatino-Italic" w:cs="Palatino-Italic"/>
          <w:i/>
          <w:iCs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svátosti kalicha“ (</w:t>
      </w:r>
      <w:r>
        <w:rPr>
          <w:rFonts w:ascii="Palatino-Italic" w:hAnsi="Palatino-Italic" w:cs="Palatino-Italic"/>
          <w:i/>
          <w:iCs/>
          <w:sz w:val="19"/>
          <w:szCs w:val="19"/>
        </w:rPr>
        <w:t>Vyznání a obrana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Italic" w:hAnsi="Palatino-Italic" w:cs="Palatino-Italic"/>
          <w:i/>
          <w:iCs/>
          <w:sz w:val="19"/>
          <w:szCs w:val="19"/>
        </w:rPr>
        <w:t>Táborů, str. 80)</w:t>
      </w:r>
      <w:r>
        <w:rPr>
          <w:rFonts w:ascii="Palatino-Roman" w:hAnsi="Palatino-Roman" w:cs="Palatino-Roman"/>
          <w:sz w:val="19"/>
          <w:szCs w:val="19"/>
        </w:rPr>
        <w:t>. Ve spisu „De non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Italic" w:hAnsi="Palatino-Italic" w:cs="Palatino-Italic"/>
          <w:i/>
          <w:iCs/>
          <w:sz w:val="19"/>
          <w:szCs w:val="19"/>
        </w:rPr>
      </w:pPr>
      <w:proofErr w:type="spellStart"/>
      <w:r>
        <w:rPr>
          <w:rFonts w:ascii="Palatino-Roman" w:hAnsi="Palatino-Roman" w:cs="Palatino-Roman"/>
          <w:sz w:val="19"/>
          <w:szCs w:val="19"/>
        </w:rPr>
        <w:t>adorando</w:t>
      </w:r>
      <w:proofErr w:type="spellEnd"/>
      <w:r>
        <w:rPr>
          <w:rFonts w:ascii="Palatino-Roman" w:hAnsi="Palatino-Roman" w:cs="Palatino-Roman"/>
          <w:sz w:val="19"/>
          <w:szCs w:val="19"/>
        </w:rPr>
        <w:t xml:space="preserve"> </w:t>
      </w:r>
      <w:proofErr w:type="spellStart"/>
      <w:r>
        <w:rPr>
          <w:rFonts w:ascii="Palatino-Roman" w:hAnsi="Palatino-Roman" w:cs="Palatino-Roman"/>
          <w:sz w:val="19"/>
          <w:szCs w:val="19"/>
        </w:rPr>
        <w:t>Christo</w:t>
      </w:r>
      <w:proofErr w:type="spellEnd"/>
      <w:r>
        <w:rPr>
          <w:rFonts w:ascii="Palatino-Roman" w:hAnsi="Palatino-Roman" w:cs="Palatino-Roman"/>
          <w:sz w:val="19"/>
          <w:szCs w:val="19"/>
        </w:rPr>
        <w:t>“ (</w:t>
      </w:r>
      <w:r>
        <w:rPr>
          <w:rFonts w:ascii="Palatino-Italic" w:hAnsi="Palatino-Italic" w:cs="Palatino-Italic"/>
          <w:i/>
          <w:iCs/>
          <w:sz w:val="19"/>
          <w:szCs w:val="19"/>
        </w:rPr>
        <w:t>který je znám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Italic" w:hAnsi="Palatino-Italic" w:cs="Palatino-Italic"/>
          <w:i/>
          <w:iCs/>
          <w:sz w:val="19"/>
          <w:szCs w:val="19"/>
        </w:rPr>
      </w:pPr>
      <w:r>
        <w:rPr>
          <w:rFonts w:ascii="Palatino-Italic" w:hAnsi="Palatino-Italic" w:cs="Palatino-Italic"/>
          <w:i/>
          <w:iCs/>
          <w:sz w:val="19"/>
          <w:szCs w:val="19"/>
        </w:rPr>
        <w:t xml:space="preserve">pouze z </w:t>
      </w:r>
      <w:proofErr w:type="spellStart"/>
      <w:r>
        <w:rPr>
          <w:rFonts w:ascii="Palatino-Italic" w:hAnsi="Palatino-Italic" w:cs="Palatino-Italic"/>
          <w:i/>
          <w:iCs/>
          <w:sz w:val="19"/>
          <w:szCs w:val="19"/>
        </w:rPr>
        <w:t>Příbramových</w:t>
      </w:r>
      <w:proofErr w:type="spellEnd"/>
      <w:r>
        <w:rPr>
          <w:rFonts w:ascii="Palatino-Italic" w:hAnsi="Palatino-Italic" w:cs="Palatino-Italic"/>
          <w:i/>
          <w:iCs/>
          <w:sz w:val="19"/>
          <w:szCs w:val="19"/>
        </w:rPr>
        <w:t xml:space="preserve"> a Rokycanových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Italic" w:hAnsi="Palatino-Italic" w:cs="Palatino-Italic"/>
          <w:i/>
          <w:iCs/>
          <w:sz w:val="19"/>
          <w:szCs w:val="19"/>
        </w:rPr>
        <w:t>excerpt</w:t>
      </w:r>
      <w:r>
        <w:rPr>
          <w:rFonts w:ascii="Palatino-Roman" w:hAnsi="Palatino-Roman" w:cs="Palatino-Roman"/>
          <w:sz w:val="19"/>
          <w:szCs w:val="19"/>
        </w:rPr>
        <w:t>) dokonce píše: „Mezi všemi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kacířstvími žádné nebylo tak chytře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ďáblem uvedeno v církev ke škodě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žijících, jako kacířství o pozdvihování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Italic" w:hAnsi="Palatino-Italic" w:cs="Palatino-Italic"/>
          <w:i/>
          <w:iCs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a uctívání svátosti oltářní.“ (</w:t>
      </w:r>
      <w:r>
        <w:rPr>
          <w:rFonts w:ascii="Palatino-Italic" w:hAnsi="Palatino-Italic" w:cs="Palatino-Italic"/>
          <w:i/>
          <w:iCs/>
          <w:sz w:val="19"/>
          <w:szCs w:val="19"/>
        </w:rPr>
        <w:t>F.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Italic" w:hAnsi="Palatino-Italic" w:cs="Palatino-Italic"/>
          <w:i/>
          <w:iCs/>
          <w:sz w:val="19"/>
          <w:szCs w:val="19"/>
        </w:rPr>
      </w:pPr>
      <w:proofErr w:type="spellStart"/>
      <w:r>
        <w:rPr>
          <w:rFonts w:ascii="Palatino-Italic" w:hAnsi="Palatino-Italic" w:cs="Palatino-Italic"/>
          <w:i/>
          <w:iCs/>
          <w:sz w:val="19"/>
          <w:szCs w:val="19"/>
        </w:rPr>
        <w:t>Hrejsa</w:t>
      </w:r>
      <w:proofErr w:type="spellEnd"/>
      <w:r>
        <w:rPr>
          <w:rFonts w:ascii="Palatino-Italic" w:hAnsi="Palatino-Italic" w:cs="Palatino-Italic"/>
          <w:i/>
          <w:iCs/>
          <w:sz w:val="19"/>
          <w:szCs w:val="19"/>
        </w:rPr>
        <w:t xml:space="preserve">, Dějiny </w:t>
      </w:r>
      <w:proofErr w:type="gramStart"/>
      <w:r>
        <w:rPr>
          <w:rFonts w:ascii="Palatino-Italic" w:hAnsi="Palatino-Italic" w:cs="Palatino-Italic"/>
          <w:i/>
          <w:iCs/>
          <w:sz w:val="19"/>
          <w:szCs w:val="19"/>
        </w:rPr>
        <w:t>křesťanství ... II</w:t>
      </w:r>
      <w:proofErr w:type="gramEnd"/>
      <w:r>
        <w:rPr>
          <w:rFonts w:ascii="Palatino-Italic" w:hAnsi="Palatino-Italic" w:cs="Palatino-Italic"/>
          <w:i/>
          <w:iCs/>
          <w:sz w:val="19"/>
          <w:szCs w:val="19"/>
        </w:rPr>
        <w:t>., str.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Italic" w:hAnsi="Palatino-Italic" w:cs="Palatino-Italic"/>
          <w:i/>
          <w:iCs/>
          <w:sz w:val="19"/>
          <w:szCs w:val="19"/>
        </w:rPr>
        <w:t>146</w:t>
      </w:r>
      <w:r>
        <w:rPr>
          <w:rFonts w:ascii="Palatino-Roman" w:hAnsi="Palatino-Roman" w:cs="Palatino-Roman"/>
          <w:sz w:val="19"/>
          <w:szCs w:val="19"/>
        </w:rPr>
        <w:t>).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Jestliže v traktátu „O zvelebení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v pravdě svátosti těla a krve Pána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 xml:space="preserve">našeho </w:t>
      </w:r>
      <w:proofErr w:type="spellStart"/>
      <w:r>
        <w:rPr>
          <w:rFonts w:ascii="Palatino-Roman" w:hAnsi="Palatino-Roman" w:cs="Palatino-Roman"/>
          <w:sz w:val="19"/>
          <w:szCs w:val="19"/>
        </w:rPr>
        <w:t>Jezukrista</w:t>
      </w:r>
      <w:proofErr w:type="spellEnd"/>
      <w:r>
        <w:rPr>
          <w:rFonts w:ascii="Palatino-Roman" w:hAnsi="Palatino-Roman" w:cs="Palatino-Roman"/>
          <w:sz w:val="19"/>
          <w:szCs w:val="19"/>
        </w:rPr>
        <w:t>“ (koncem r. 1422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či začátkem r. 1423) píše pouze o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Kristově ´bytu osobním a podstatném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´, kterým nyní „na zemi není,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 xml:space="preserve">aniž </w:t>
      </w:r>
      <w:proofErr w:type="spellStart"/>
      <w:r>
        <w:rPr>
          <w:rFonts w:ascii="Palatino-Roman" w:hAnsi="Palatino-Roman" w:cs="Palatino-Roman"/>
          <w:sz w:val="19"/>
          <w:szCs w:val="19"/>
        </w:rPr>
        <w:t>sstúpí</w:t>
      </w:r>
      <w:proofErr w:type="spellEnd"/>
      <w:r>
        <w:rPr>
          <w:rFonts w:ascii="Palatino-Roman" w:hAnsi="Palatino-Roman" w:cs="Palatino-Roman"/>
          <w:sz w:val="19"/>
          <w:szCs w:val="19"/>
        </w:rPr>
        <w:t xml:space="preserve"> s nebe do dne soudného“,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a ´duchovním´, jímž „se svatými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Italic" w:hAnsi="Palatino-Italic" w:cs="Palatino-Italic"/>
          <w:i/>
          <w:iCs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a v svatých (</w:t>
      </w:r>
      <w:r>
        <w:rPr>
          <w:rFonts w:ascii="Palatino-Italic" w:hAnsi="Palatino-Italic" w:cs="Palatino-Italic"/>
          <w:i/>
          <w:iCs/>
          <w:sz w:val="19"/>
          <w:szCs w:val="19"/>
        </w:rPr>
        <w:t>„svatými“ rozuměj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Italic" w:hAnsi="Palatino-Italic" w:cs="Palatino-Italic"/>
          <w:i/>
          <w:iCs/>
          <w:sz w:val="19"/>
          <w:szCs w:val="19"/>
        </w:rPr>
        <w:t>nikoli světce, ale svědky</w:t>
      </w:r>
      <w:r>
        <w:rPr>
          <w:rFonts w:ascii="Palatino-Roman" w:hAnsi="Palatino-Roman" w:cs="Palatino-Roman"/>
          <w:sz w:val="19"/>
          <w:szCs w:val="19"/>
        </w:rPr>
        <w:t>) … jest zde na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zemi svým duchem“ (</w:t>
      </w:r>
      <w:r>
        <w:rPr>
          <w:rFonts w:ascii="Palatino-Italic" w:hAnsi="Palatino-Italic" w:cs="Palatino-Italic"/>
          <w:i/>
          <w:iCs/>
          <w:sz w:val="19"/>
          <w:szCs w:val="19"/>
        </w:rPr>
        <w:t>str. 7n</w:t>
      </w:r>
      <w:r>
        <w:rPr>
          <w:rFonts w:ascii="Palatino-Roman" w:hAnsi="Palatino-Roman" w:cs="Palatino-Roman"/>
          <w:sz w:val="19"/>
          <w:szCs w:val="19"/>
        </w:rPr>
        <w:t>), a sděluje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pouze, že „tělo Kristovo nemá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 xml:space="preserve">tělesně jedeno </w:t>
      </w:r>
      <w:proofErr w:type="spellStart"/>
      <w:r>
        <w:rPr>
          <w:rFonts w:ascii="Palatino-Roman" w:hAnsi="Palatino-Roman" w:cs="Palatino-Roman"/>
          <w:sz w:val="19"/>
          <w:szCs w:val="19"/>
        </w:rPr>
        <w:t>býti</w:t>
      </w:r>
      <w:proofErr w:type="spellEnd"/>
      <w:r>
        <w:rPr>
          <w:rFonts w:ascii="Palatino-Roman" w:hAnsi="Palatino-Roman" w:cs="Palatino-Roman"/>
          <w:sz w:val="19"/>
          <w:szCs w:val="19"/>
        </w:rPr>
        <w:t xml:space="preserve"> podle bludného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smyslu učedníkův, ale duchovně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 xml:space="preserve">skrze </w:t>
      </w:r>
      <w:proofErr w:type="spellStart"/>
      <w:r>
        <w:rPr>
          <w:rFonts w:ascii="Palatino-Roman" w:hAnsi="Palatino-Roman" w:cs="Palatino-Roman"/>
          <w:sz w:val="19"/>
          <w:szCs w:val="19"/>
        </w:rPr>
        <w:t>živú</w:t>
      </w:r>
      <w:proofErr w:type="spellEnd"/>
      <w:r>
        <w:rPr>
          <w:rFonts w:ascii="Palatino-Roman" w:hAnsi="Palatino-Roman" w:cs="Palatino-Roman"/>
          <w:sz w:val="19"/>
          <w:szCs w:val="19"/>
        </w:rPr>
        <w:t xml:space="preserve"> </w:t>
      </w:r>
      <w:proofErr w:type="spellStart"/>
      <w:r>
        <w:rPr>
          <w:rFonts w:ascii="Palatino-Roman" w:hAnsi="Palatino-Roman" w:cs="Palatino-Roman"/>
          <w:sz w:val="19"/>
          <w:szCs w:val="19"/>
        </w:rPr>
        <w:t>pamět</w:t>
      </w:r>
      <w:proofErr w:type="spellEnd"/>
      <w:r>
        <w:rPr>
          <w:rFonts w:ascii="Palatino-Roman" w:hAnsi="Palatino-Roman" w:cs="Palatino-Roman"/>
          <w:sz w:val="19"/>
          <w:szCs w:val="19"/>
        </w:rPr>
        <w:t xml:space="preserve"> jeho obcování a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smrti“ (</w:t>
      </w:r>
      <w:r>
        <w:rPr>
          <w:rFonts w:ascii="Palatino-Italic" w:hAnsi="Palatino-Italic" w:cs="Palatino-Italic"/>
          <w:i/>
          <w:iCs/>
          <w:sz w:val="19"/>
          <w:szCs w:val="19"/>
        </w:rPr>
        <w:t>str. 13</w:t>
      </w:r>
      <w:r>
        <w:rPr>
          <w:rFonts w:ascii="Palatino-Roman" w:hAnsi="Palatino-Roman" w:cs="Palatino-Roman"/>
          <w:sz w:val="19"/>
          <w:szCs w:val="19"/>
        </w:rPr>
        <w:t>), záhy drží s Janem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Němcem zásadu čtyř způsobů ´bytu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´ Ježíše Krista: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Italic" w:hAnsi="Palatino-Italic" w:cs="Palatino-Italic"/>
          <w:i/>
          <w:iCs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1. Podstatně a tělesně (</w:t>
      </w:r>
      <w:proofErr w:type="spellStart"/>
      <w:r>
        <w:rPr>
          <w:rFonts w:ascii="Palatino-Italic" w:hAnsi="Palatino-Italic" w:cs="Palatino-Italic"/>
          <w:i/>
          <w:iCs/>
          <w:sz w:val="19"/>
          <w:szCs w:val="19"/>
        </w:rPr>
        <w:t>essentialiter</w:t>
      </w:r>
      <w:proofErr w:type="spellEnd"/>
      <w:r>
        <w:rPr>
          <w:rFonts w:ascii="Palatino-Italic" w:hAnsi="Palatino-Italic" w:cs="Palatino-Italic"/>
          <w:i/>
          <w:iCs/>
          <w:sz w:val="19"/>
          <w:szCs w:val="19"/>
        </w:rPr>
        <w:t xml:space="preserve"> </w:t>
      </w:r>
      <w:proofErr w:type="spellStart"/>
      <w:r>
        <w:rPr>
          <w:rFonts w:ascii="Palatino-Italic" w:hAnsi="Palatino-Italic" w:cs="Palatino-Italic"/>
          <w:i/>
          <w:iCs/>
          <w:sz w:val="19"/>
          <w:szCs w:val="19"/>
        </w:rPr>
        <w:t>et</w:t>
      </w:r>
      <w:proofErr w:type="spellEnd"/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proofErr w:type="spellStart"/>
      <w:r>
        <w:rPr>
          <w:rFonts w:ascii="Palatino-Italic" w:hAnsi="Palatino-Italic" w:cs="Palatino-Italic"/>
          <w:i/>
          <w:iCs/>
          <w:sz w:val="19"/>
          <w:szCs w:val="19"/>
        </w:rPr>
        <w:t>corporaliter</w:t>
      </w:r>
      <w:proofErr w:type="spellEnd"/>
      <w:r>
        <w:rPr>
          <w:rFonts w:ascii="Palatino-Roman" w:hAnsi="Palatino-Roman" w:cs="Palatino-Roman"/>
          <w:sz w:val="19"/>
          <w:szCs w:val="19"/>
        </w:rPr>
        <w:t>) – tak chodil po zemi a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vstoupil na nebesa, takže nyní až do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druhého příchodu již na zemi není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(a tedy ani ve svátosti).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2. Duchovně (</w:t>
      </w:r>
      <w:proofErr w:type="spellStart"/>
      <w:r>
        <w:rPr>
          <w:rFonts w:ascii="Palatino-Italic" w:hAnsi="Palatino-Italic" w:cs="Palatino-Italic"/>
          <w:i/>
          <w:iCs/>
          <w:sz w:val="19"/>
          <w:szCs w:val="19"/>
        </w:rPr>
        <w:t>spiritualiter</w:t>
      </w:r>
      <w:proofErr w:type="spellEnd"/>
      <w:r>
        <w:rPr>
          <w:rFonts w:ascii="Palatino-Roman" w:hAnsi="Palatino-Roman" w:cs="Palatino-Roman"/>
          <w:sz w:val="19"/>
          <w:szCs w:val="19"/>
        </w:rPr>
        <w:t>) – tak stojí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při svých věrných a posiluje je.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3. V síle a moci (</w:t>
      </w:r>
      <w:proofErr w:type="spellStart"/>
      <w:r>
        <w:rPr>
          <w:rFonts w:ascii="Palatino-Italic" w:hAnsi="Palatino-Italic" w:cs="Palatino-Italic"/>
          <w:i/>
          <w:iCs/>
          <w:sz w:val="19"/>
          <w:szCs w:val="19"/>
        </w:rPr>
        <w:t>virtualiter</w:t>
      </w:r>
      <w:proofErr w:type="spellEnd"/>
      <w:r>
        <w:rPr>
          <w:rFonts w:ascii="Palatino-Italic" w:hAnsi="Palatino-Italic" w:cs="Palatino-Italic"/>
          <w:i/>
          <w:iCs/>
          <w:sz w:val="19"/>
          <w:szCs w:val="19"/>
        </w:rPr>
        <w:t xml:space="preserve"> aut </w:t>
      </w:r>
      <w:proofErr w:type="spellStart"/>
      <w:r>
        <w:rPr>
          <w:rFonts w:ascii="Palatino-Italic" w:hAnsi="Palatino-Italic" w:cs="Palatino-Italic"/>
          <w:i/>
          <w:iCs/>
          <w:sz w:val="19"/>
          <w:szCs w:val="19"/>
        </w:rPr>
        <w:t>potentialiter</w:t>
      </w:r>
      <w:proofErr w:type="spellEnd"/>
      <w:r>
        <w:rPr>
          <w:rFonts w:ascii="Palatino-Roman" w:hAnsi="Palatino-Roman" w:cs="Palatino-Roman"/>
          <w:sz w:val="19"/>
          <w:szCs w:val="19"/>
        </w:rPr>
        <w:t>)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lastRenderedPageBreak/>
        <w:t>– tak působí jako král v celé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své říši.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4. Svátostně (</w:t>
      </w:r>
      <w:proofErr w:type="spellStart"/>
      <w:r>
        <w:rPr>
          <w:rFonts w:ascii="Palatino-Italic" w:hAnsi="Palatino-Italic" w:cs="Palatino-Italic"/>
          <w:i/>
          <w:iCs/>
          <w:sz w:val="19"/>
          <w:szCs w:val="19"/>
        </w:rPr>
        <w:t>sacramentaliter</w:t>
      </w:r>
      <w:proofErr w:type="spellEnd"/>
      <w:r>
        <w:rPr>
          <w:rFonts w:ascii="Palatino-Roman" w:hAnsi="Palatino-Roman" w:cs="Palatino-Roman"/>
          <w:sz w:val="19"/>
          <w:szCs w:val="19"/>
        </w:rPr>
        <w:t>) – tak je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přítomen ve svátostech. Všechny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způsoby bytí jsou pravdivé a skutečné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(</w:t>
      </w:r>
      <w:proofErr w:type="spellStart"/>
      <w:r>
        <w:rPr>
          <w:rFonts w:ascii="Palatino-Italic" w:hAnsi="Palatino-Italic" w:cs="Palatino-Italic"/>
          <w:i/>
          <w:iCs/>
          <w:sz w:val="19"/>
          <w:szCs w:val="19"/>
        </w:rPr>
        <w:t>vere</w:t>
      </w:r>
      <w:proofErr w:type="spellEnd"/>
      <w:r>
        <w:rPr>
          <w:rFonts w:ascii="Palatino-Italic" w:hAnsi="Palatino-Italic" w:cs="Palatino-Italic"/>
          <w:i/>
          <w:iCs/>
          <w:sz w:val="19"/>
          <w:szCs w:val="19"/>
        </w:rPr>
        <w:t xml:space="preserve"> </w:t>
      </w:r>
      <w:proofErr w:type="spellStart"/>
      <w:r>
        <w:rPr>
          <w:rFonts w:ascii="Palatino-Italic" w:hAnsi="Palatino-Italic" w:cs="Palatino-Italic"/>
          <w:i/>
          <w:iCs/>
          <w:sz w:val="19"/>
          <w:szCs w:val="19"/>
        </w:rPr>
        <w:t>et</w:t>
      </w:r>
      <w:proofErr w:type="spellEnd"/>
      <w:r>
        <w:rPr>
          <w:rFonts w:ascii="Palatino-Italic" w:hAnsi="Palatino-Italic" w:cs="Palatino-Italic"/>
          <w:i/>
          <w:iCs/>
          <w:sz w:val="19"/>
          <w:szCs w:val="19"/>
        </w:rPr>
        <w:t xml:space="preserve"> </w:t>
      </w:r>
      <w:proofErr w:type="spellStart"/>
      <w:r>
        <w:rPr>
          <w:rFonts w:ascii="Palatino-Italic" w:hAnsi="Palatino-Italic" w:cs="Palatino-Italic"/>
          <w:i/>
          <w:iCs/>
          <w:sz w:val="19"/>
          <w:szCs w:val="19"/>
        </w:rPr>
        <w:t>realiter</w:t>
      </w:r>
      <w:proofErr w:type="spellEnd"/>
      <w:r>
        <w:rPr>
          <w:rFonts w:ascii="Palatino-Roman" w:hAnsi="Palatino-Roman" w:cs="Palatino-Roman"/>
          <w:sz w:val="19"/>
          <w:szCs w:val="19"/>
        </w:rPr>
        <w:t>). Dál drží s Jakoubkem,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že při eucharistii zůstává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chléb chlebem a víno vínem, avšak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stávají se pro tu chvíli pro účastníky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„svátostnými“. Oproti Jakoubkovu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pojetí však drží, že Kristus je přítomen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sice pravdivě a skutečně, ale ne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materiálně svou podstatou, nýbrž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Italic" w:hAnsi="Palatino-Italic" w:cs="Palatino-Italic"/>
          <w:i/>
          <w:iCs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duchovně a svátostně (</w:t>
      </w:r>
      <w:r>
        <w:rPr>
          <w:rFonts w:ascii="Palatino-Italic" w:hAnsi="Palatino-Italic" w:cs="Palatino-Italic"/>
          <w:i/>
          <w:iCs/>
          <w:sz w:val="19"/>
          <w:szCs w:val="19"/>
        </w:rPr>
        <w:t>Vyznání a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Italic" w:hAnsi="Palatino-Italic" w:cs="Palatino-Italic"/>
          <w:i/>
          <w:iCs/>
          <w:sz w:val="19"/>
          <w:szCs w:val="19"/>
        </w:rPr>
      </w:pPr>
      <w:r>
        <w:rPr>
          <w:rFonts w:ascii="Palatino-Italic" w:hAnsi="Palatino-Italic" w:cs="Palatino-Italic"/>
          <w:i/>
          <w:iCs/>
          <w:sz w:val="19"/>
          <w:szCs w:val="19"/>
        </w:rPr>
        <w:t>obrana Táborů, str. 79; Ze zpráv a kronik,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Italic" w:hAnsi="Palatino-Italic" w:cs="Palatino-Italic"/>
          <w:i/>
          <w:iCs/>
          <w:sz w:val="19"/>
          <w:szCs w:val="19"/>
        </w:rPr>
        <w:t>str. 302)</w:t>
      </w:r>
      <w:r>
        <w:rPr>
          <w:rFonts w:ascii="Palatino-Roman" w:hAnsi="Palatino-Roman" w:cs="Palatino-Roman"/>
          <w:sz w:val="19"/>
          <w:szCs w:val="19"/>
        </w:rPr>
        <w:t>.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 xml:space="preserve">Složitému </w:t>
      </w:r>
      <w:proofErr w:type="spellStart"/>
      <w:r>
        <w:rPr>
          <w:rFonts w:ascii="Palatino-Roman" w:hAnsi="Palatino-Roman" w:cs="Palatino-Roman"/>
          <w:sz w:val="19"/>
          <w:szCs w:val="19"/>
        </w:rPr>
        <w:t>Biskupcovu</w:t>
      </w:r>
      <w:proofErr w:type="spellEnd"/>
      <w:r>
        <w:rPr>
          <w:rFonts w:ascii="Palatino-Roman" w:hAnsi="Palatino-Roman" w:cs="Palatino-Roman"/>
          <w:sz w:val="19"/>
          <w:szCs w:val="19"/>
        </w:rPr>
        <w:t xml:space="preserve"> </w:t>
      </w:r>
      <w:proofErr w:type="spellStart"/>
      <w:r>
        <w:rPr>
          <w:rFonts w:ascii="Palatino-Roman" w:hAnsi="Palatino-Roman" w:cs="Palatino-Roman"/>
          <w:sz w:val="19"/>
          <w:szCs w:val="19"/>
        </w:rPr>
        <w:t>scholasticko</w:t>
      </w:r>
      <w:proofErr w:type="spellEnd"/>
      <w:r>
        <w:rPr>
          <w:rFonts w:ascii="Palatino-Roman" w:hAnsi="Palatino-Roman" w:cs="Palatino-Roman"/>
          <w:sz w:val="19"/>
          <w:szCs w:val="19"/>
        </w:rPr>
        <w:t>-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-středověkému vysvětlování, jak je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Kristus ve svátosti přítomen skutečně,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pravdivě a svátostně, rozumím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tak, že Kristovu přítomnost nepojímá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jako slepenec s živly chleba a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vína – ač ony jsou při eucharistii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nutné jako viditelné znamení se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zvěstnou funkcí –, ale že Kristova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přítomnost duchovně prostupuje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celé společenství stolovníků.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Vzhledem k významu eucharistie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pro duchovní život člověka doporučuje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proofErr w:type="spellStart"/>
      <w:r>
        <w:rPr>
          <w:rFonts w:ascii="Palatino-Roman" w:hAnsi="Palatino-Roman" w:cs="Palatino-Roman"/>
          <w:sz w:val="19"/>
          <w:szCs w:val="19"/>
        </w:rPr>
        <w:t>Biskupec</w:t>
      </w:r>
      <w:proofErr w:type="spellEnd"/>
      <w:r>
        <w:rPr>
          <w:rFonts w:ascii="Palatino-Roman" w:hAnsi="Palatino-Roman" w:cs="Palatino-Roman"/>
          <w:sz w:val="19"/>
          <w:szCs w:val="19"/>
        </w:rPr>
        <w:t xml:space="preserve"> (jak už učil i Matěj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z Janova) časté přijímání. Pro vysluhování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eucharistie dál užívá zavedený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výraz „mše“, ovšem obřad radikálně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zaměřuje na Krista a vynechává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v něm všechno, co ´nutně nepatří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k jeho podstatě a bez čeho by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Italic" w:hAnsi="Palatino-Italic" w:cs="Palatino-Italic"/>
          <w:i/>
          <w:iCs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mše nebyla mší´ (</w:t>
      </w:r>
      <w:r>
        <w:rPr>
          <w:rFonts w:ascii="Palatino-Italic" w:hAnsi="Palatino-Italic" w:cs="Palatino-Italic"/>
          <w:i/>
          <w:iCs/>
          <w:sz w:val="19"/>
          <w:szCs w:val="19"/>
        </w:rPr>
        <w:t>Vyznání a obrana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Italic" w:hAnsi="Palatino-Italic" w:cs="Palatino-Italic"/>
          <w:i/>
          <w:iCs/>
          <w:sz w:val="19"/>
          <w:szCs w:val="19"/>
        </w:rPr>
        <w:t>Táborů, str. 87</w:t>
      </w:r>
      <w:r>
        <w:rPr>
          <w:rFonts w:ascii="Palatino-Roman" w:hAnsi="Palatino-Roman" w:cs="Palatino-Roman"/>
          <w:sz w:val="19"/>
          <w:szCs w:val="19"/>
        </w:rPr>
        <w:t>). Takže: Vysluhování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(´mše´) se může konat na kterémkoli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místě. Stačí stůl pokrytý ubrusem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a přítomnost řádně ordinovaného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(´vysvěceného´) kněze. Pokud je přítomno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více kněží, nejprve se všichni,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klečíce a majíce tváře skloněné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k zemi, pomodlí hlasitě modlitbu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Páně. Potom vstanou a jeden z nich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hlasitě pronese posvěcující slova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Kristova ustanovení. Pak přijímá,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bere se stolu chléb a víno, po něm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přijímají ostatní přítomní kněží,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z nichž dva podávají lidu, jeden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chléb, druhý víno (zprvu si dokonce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někdy chléb i víno se stolu brali lidé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sami). Pokud je přítomen jen jeden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kněz, vykonává všechnu kněžskou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službu sám. Nepoužívají se hostie,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ale obyčejný chléb, který se láme na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menší kousky. Víno se nemíchá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s vodou a podává se v jakýchkoli</w:t>
      </w:r>
    </w:p>
    <w:p w:rsidR="00CF787A" w:rsidRDefault="00CF787A" w:rsidP="00CF787A">
      <w:pPr>
        <w:autoSpaceDE w:val="0"/>
        <w:autoSpaceDN w:val="0"/>
        <w:adjustRightInd w:val="0"/>
        <w:spacing w:line="240" w:lineRule="auto"/>
        <w:rPr>
          <w:rFonts w:ascii="Palatino-Roman" w:hAnsi="Palatino-Roman" w:cs="Palatino-Roman"/>
          <w:sz w:val="19"/>
          <w:szCs w:val="19"/>
        </w:rPr>
      </w:pPr>
      <w:r>
        <w:rPr>
          <w:rFonts w:ascii="Palatino-Roman" w:hAnsi="Palatino-Roman" w:cs="Palatino-Roman"/>
          <w:sz w:val="19"/>
          <w:szCs w:val="19"/>
        </w:rPr>
        <w:t>číších.</w:t>
      </w:r>
    </w:p>
    <w:p w:rsidR="00AD559B" w:rsidRDefault="00CF787A" w:rsidP="00CF787A">
      <w:r>
        <w:rPr>
          <w:rFonts w:ascii="Palatino-Bold" w:hAnsi="Palatino-Bold" w:cs="Palatino-Bold"/>
          <w:b/>
          <w:bCs/>
          <w:sz w:val="19"/>
          <w:szCs w:val="19"/>
        </w:rPr>
        <w:t>Zdeněk Soušek</w:t>
      </w:r>
    </w:p>
    <w:sectPr w:rsidR="00AD559B" w:rsidSect="00CF787A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-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alatino-Italic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Palatino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F787A"/>
    <w:rsid w:val="003E02C5"/>
    <w:rsid w:val="006E6C14"/>
    <w:rsid w:val="00AD559B"/>
    <w:rsid w:val="00CF787A"/>
    <w:rsid w:val="00F05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6C14"/>
    <w:pPr>
      <w:spacing w:after="0"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936</Words>
  <Characters>5527</Characters>
  <Application>Microsoft Office Word</Application>
  <DocSecurity>0</DocSecurity>
  <Lines>46</Lines>
  <Paragraphs>12</Paragraphs>
  <ScaleCrop>false</ScaleCrop>
  <Company/>
  <LinksUpToDate>false</LinksUpToDate>
  <CharactersWithSpaces>6451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</dc:creator>
  <cp:keywords/>
  <dc:description/>
  <cp:lastModifiedBy>JC</cp:lastModifiedBy>
  <cp:revision>2</cp:revision>
  <dcterms:created xsi:type="dcterms:W3CDTF">2018-06-05T16:42:00Z</dcterms:created>
  <dcterms:modified xsi:type="dcterms:W3CDTF">2018-06-05T16:43:00Z</dcterms:modified>
</cp:coreProperties>
</file>